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18b86bf363c1441f"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471AEE" w:rsidRDefault="00F445B1" w:rsidP="004A6D2F">
            <w:pPr>
              <w:rPr>
                <w:rStyle w:val="Firstpagetablebold"/>
              </w:rPr>
            </w:pPr>
            <w:r w:rsidRPr="00471AEE">
              <w:rPr>
                <w:rStyle w:val="Firstpagetablebold"/>
              </w:rPr>
              <w:t>Dat</w:t>
            </w:r>
            <w:r w:rsidR="005C35A5" w:rsidRPr="00471AEE">
              <w:rPr>
                <w:rStyle w:val="Firstpagetablebold"/>
              </w:rPr>
              <w:t>e:</w:t>
            </w:r>
          </w:p>
        </w:tc>
        <w:tc>
          <w:tcPr>
            <w:tcW w:w="6406" w:type="dxa"/>
            <w:shd w:val="clear" w:color="auto" w:fill="auto"/>
          </w:tcPr>
          <w:p w:rsidR="00F445B1" w:rsidRPr="00471AEE" w:rsidRDefault="00671F9D" w:rsidP="00471AEE">
            <w:pPr>
              <w:rPr>
                <w:b/>
              </w:rPr>
            </w:pPr>
            <w:r>
              <w:rPr>
                <w:rStyle w:val="Firstpagetablebold"/>
              </w:rPr>
              <w:t>20</w:t>
            </w:r>
            <w:r w:rsidRPr="00471AEE">
              <w:rPr>
                <w:rStyle w:val="Firstpagetablebold"/>
              </w:rPr>
              <w:t xml:space="preserve"> </w:t>
            </w:r>
            <w:r w:rsidR="00471AEE" w:rsidRPr="00471AEE">
              <w:rPr>
                <w:rStyle w:val="Firstpagetablebold"/>
              </w:rPr>
              <w:t>June</w:t>
            </w:r>
            <w:r w:rsidR="004D2FF1" w:rsidRPr="00471AEE">
              <w:rPr>
                <w:rStyle w:val="Firstpagetablebold"/>
              </w:rPr>
              <w:t xml:space="preserve"> 2017</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4D2FF1" w:rsidP="004A6D2F">
            <w:pPr>
              <w:rPr>
                <w:rStyle w:val="Firstpagetablebold"/>
              </w:rPr>
            </w:pPr>
            <w:r>
              <w:rPr>
                <w:rStyle w:val="Firstpagetablebold"/>
              </w:rPr>
              <w:t>Head of Planning</w:t>
            </w:r>
            <w:r w:rsidR="00AF35FE">
              <w:rPr>
                <w:rStyle w:val="Firstpagetablebold"/>
              </w:rPr>
              <w:t>, Sustainable Development</w:t>
            </w:r>
            <w:r>
              <w:rPr>
                <w:rStyle w:val="Firstpagetablebold"/>
              </w:rPr>
              <w:t xml:space="preserve"> and Regulatory </w:t>
            </w:r>
            <w:r w:rsidR="00AF35FE">
              <w:rPr>
                <w:rStyle w:val="Firstpagetablebold"/>
              </w:rPr>
              <w:t>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4D2FF1" w:rsidP="004A6D2F">
            <w:pPr>
              <w:rPr>
                <w:rStyle w:val="Firstpagetablebold"/>
              </w:rPr>
            </w:pPr>
            <w:r>
              <w:rPr>
                <w:rStyle w:val="Firstpagetablebold"/>
              </w:rPr>
              <w:t xml:space="preserve">Headington Neighbourhood Plan </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057886" w:rsidP="00671F9D">
            <w:r w:rsidRPr="0028145F">
              <w:t xml:space="preserve">To </w:t>
            </w:r>
            <w:r w:rsidR="00671F9D">
              <w:t xml:space="preserve"> consider</w:t>
            </w:r>
            <w:r w:rsidR="00C845DC">
              <w:t xml:space="preserve"> the </w:t>
            </w:r>
            <w:r w:rsidR="004B46B3" w:rsidRPr="0028145F">
              <w:t xml:space="preserve">Headington Neighbourhood Plan </w:t>
            </w:r>
            <w:r w:rsidR="00671F9D">
              <w:t>for adoption so that it can become part of the Oxford Development Plan</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5F7F7E">
            <w:r w:rsidRPr="001356F1">
              <w:t>Yes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D5547E" w:rsidP="009A1D36">
            <w:r w:rsidRPr="001356F1">
              <w:t>C</w:t>
            </w:r>
            <w:r w:rsidR="009A1D36">
              <w:t xml:space="preserve">llr </w:t>
            </w:r>
            <w:r w:rsidR="004D2FF1">
              <w:t>Alex Hollingsworth</w:t>
            </w:r>
            <w:r w:rsidRPr="001356F1">
              <w:t xml:space="preserve">, </w:t>
            </w:r>
            <w:r w:rsidR="009A1D36">
              <w:t>Board</w:t>
            </w:r>
            <w:r w:rsidR="0024444C">
              <w:t xml:space="preserve"> Member for Planning </w:t>
            </w:r>
            <w:r w:rsidR="009A1D36">
              <w:t>and Regulatory Services</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DC6960" w:rsidP="005F7F7E">
            <w:r w:rsidRPr="00DC6960">
              <w:t>Strong and Active Communities; Meeting Housing Needs; A Vibrant and Sustainable Economy; A Clean and Green Oxford</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DC6960" w:rsidP="00DC6960">
            <w:r>
              <w:t>None</w:t>
            </w:r>
          </w:p>
        </w:tc>
      </w:tr>
      <w:tr w:rsidR="005F7F7E" w:rsidRPr="00975B07" w:rsidTr="00A46E98">
        <w:trPr>
          <w:trHeight w:val="413"/>
        </w:trPr>
        <w:tc>
          <w:tcPr>
            <w:tcW w:w="8845" w:type="dxa"/>
            <w:gridSpan w:val="3"/>
            <w:tcBorders>
              <w:bottom w:val="single" w:sz="8" w:space="0" w:color="000000"/>
            </w:tcBorders>
          </w:tcPr>
          <w:p w:rsidR="005F7F7E" w:rsidRPr="00975B07" w:rsidRDefault="009A1D36" w:rsidP="004A6D2F">
            <w:r>
              <w:rPr>
                <w:rStyle w:val="Firstpagetablebold"/>
              </w:rPr>
              <w:t>Recommendations</w:t>
            </w:r>
            <w:r w:rsidR="005F7F7E">
              <w:rPr>
                <w:rStyle w:val="Firstpagetablebold"/>
              </w:rPr>
              <w:t>:</w:t>
            </w:r>
            <w:r>
              <w:rPr>
                <w:rStyle w:val="Firstpagetablebold"/>
              </w:rPr>
              <w:t xml:space="preserve"> </w:t>
            </w:r>
            <w:r w:rsidR="005F7F7E" w:rsidRPr="009A1D36">
              <w:rPr>
                <w:rStyle w:val="Firstpagetablebold"/>
                <w:b w:val="0"/>
              </w:rPr>
              <w:t>That the City Executive Board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1A7E6F" w:rsidRDefault="00046D2B" w:rsidP="009A1D36">
            <w:pPr>
              <w:spacing w:before="240"/>
              <w:rPr>
                <w:b/>
              </w:rPr>
            </w:pPr>
            <w:r w:rsidRPr="00DC6960">
              <w:t>1</w:t>
            </w:r>
            <w:r w:rsidRPr="001A7E6F">
              <w:rPr>
                <w:b/>
              </w:rPr>
              <w:t>.</w:t>
            </w:r>
          </w:p>
        </w:tc>
        <w:tc>
          <w:tcPr>
            <w:tcW w:w="8419" w:type="dxa"/>
            <w:gridSpan w:val="2"/>
            <w:tcBorders>
              <w:top w:val="single" w:sz="8" w:space="0" w:color="000000"/>
              <w:left w:val="nil"/>
              <w:bottom w:val="nil"/>
              <w:right w:val="single" w:sz="8" w:space="0" w:color="000000"/>
            </w:tcBorders>
            <w:shd w:val="clear" w:color="auto" w:fill="auto"/>
          </w:tcPr>
          <w:p w:rsidR="009A1D36" w:rsidRPr="009A1D36" w:rsidRDefault="00671F9D" w:rsidP="009A1D36">
            <w:pPr>
              <w:spacing w:before="240"/>
            </w:pPr>
            <w:r w:rsidRPr="00671F9D">
              <w:rPr>
                <w:b/>
              </w:rPr>
              <w:t>A</w:t>
            </w:r>
            <w:r w:rsidR="00AF35FE" w:rsidRPr="00671F9D">
              <w:rPr>
                <w:b/>
              </w:rPr>
              <w:t xml:space="preserve">gree </w:t>
            </w:r>
            <w:r w:rsidR="00AF35FE" w:rsidRPr="00DC6960">
              <w:t xml:space="preserve">to </w:t>
            </w:r>
            <w:r w:rsidR="00C845DC" w:rsidRPr="00DC6960">
              <w:t>‘make’ the Headington Neighbourhood Pla</w:t>
            </w:r>
            <w:bookmarkStart w:id="0" w:name="_GoBack"/>
            <w:bookmarkEnd w:id="0"/>
            <w:r w:rsidR="00C845DC" w:rsidRPr="00DC6960">
              <w:t>n</w:t>
            </w:r>
            <w:r w:rsidRPr="00DC6960">
              <w:t>;</w:t>
            </w:r>
          </w:p>
        </w:tc>
      </w:tr>
      <w:tr w:rsidR="00232F5B" w:rsidRPr="00975B07" w:rsidTr="003C2DC2">
        <w:trPr>
          <w:trHeight w:val="84"/>
        </w:trPr>
        <w:tc>
          <w:tcPr>
            <w:tcW w:w="426" w:type="dxa"/>
            <w:tcBorders>
              <w:top w:val="nil"/>
              <w:left w:val="single" w:sz="8" w:space="0" w:color="000000"/>
              <w:bottom w:val="single" w:sz="8" w:space="0" w:color="000000"/>
              <w:right w:val="nil"/>
            </w:tcBorders>
          </w:tcPr>
          <w:p w:rsidR="0030208D" w:rsidRPr="00975B07" w:rsidRDefault="00DC6960" w:rsidP="004A6D2F">
            <w:r>
              <w:t>2</w:t>
            </w:r>
          </w:p>
        </w:tc>
        <w:tc>
          <w:tcPr>
            <w:tcW w:w="8419" w:type="dxa"/>
            <w:gridSpan w:val="2"/>
            <w:tcBorders>
              <w:top w:val="nil"/>
              <w:left w:val="nil"/>
              <w:bottom w:val="single" w:sz="8" w:space="0" w:color="000000"/>
              <w:right w:val="single" w:sz="8" w:space="0" w:color="000000"/>
            </w:tcBorders>
            <w:shd w:val="clear" w:color="auto" w:fill="auto"/>
          </w:tcPr>
          <w:p w:rsidR="0030208D" w:rsidRPr="001356F1" w:rsidRDefault="00DC6960" w:rsidP="00247C29">
            <w:r w:rsidRPr="00DC6960">
              <w:rPr>
                <w:b/>
              </w:rPr>
              <w:t>Recommend Council</w:t>
            </w:r>
            <w:r w:rsidRPr="00DC6960">
              <w:t xml:space="preserve"> to adopt the Headington Neighbourhood Plan as part of the Council’s development plan for the Headington neighbourhood area.</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371"/>
      </w:tblGrid>
      <w:tr w:rsidR="00966D42" w:rsidRPr="00975B07" w:rsidTr="001E2BBD">
        <w:tc>
          <w:tcPr>
            <w:tcW w:w="9072"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BA5F16">
              <w:rPr>
                <w:rStyle w:val="Firstpagetablebold"/>
              </w:rPr>
              <w:t>Appendices</w:t>
            </w:r>
          </w:p>
        </w:tc>
      </w:tr>
      <w:tr w:rsidR="00ED5860" w:rsidRPr="00975B07" w:rsidTr="001E2BBD">
        <w:tc>
          <w:tcPr>
            <w:tcW w:w="1701" w:type="dxa"/>
            <w:tcBorders>
              <w:top w:val="nil"/>
              <w:left w:val="single" w:sz="8" w:space="0" w:color="000000"/>
              <w:bottom w:val="nil"/>
              <w:right w:val="nil"/>
            </w:tcBorders>
            <w:shd w:val="clear" w:color="auto" w:fill="auto"/>
          </w:tcPr>
          <w:p w:rsidR="00ED5860" w:rsidRPr="00975B07" w:rsidRDefault="0030208D" w:rsidP="004A6D2F">
            <w:r w:rsidRPr="00975B07">
              <w:t xml:space="preserve">Appendix </w:t>
            </w:r>
            <w:r w:rsidR="0028145F">
              <w:t>1</w:t>
            </w:r>
          </w:p>
        </w:tc>
        <w:tc>
          <w:tcPr>
            <w:tcW w:w="7371" w:type="dxa"/>
            <w:tcBorders>
              <w:top w:val="nil"/>
              <w:left w:val="nil"/>
              <w:bottom w:val="nil"/>
              <w:right w:val="single" w:sz="8" w:space="0" w:color="000000"/>
            </w:tcBorders>
          </w:tcPr>
          <w:p w:rsidR="00ED5860" w:rsidRPr="001E2BBD" w:rsidRDefault="001E2BBD" w:rsidP="004B46B3">
            <w:pPr>
              <w:spacing w:after="0"/>
            </w:pPr>
            <w:r w:rsidRPr="001E2BBD">
              <w:t>Hea</w:t>
            </w:r>
            <w:r>
              <w:t xml:space="preserve">dington Neighbourhood Plan 2017 – </w:t>
            </w:r>
            <w:r w:rsidRPr="001E2BBD">
              <w:t>2032</w:t>
            </w:r>
          </w:p>
        </w:tc>
      </w:tr>
      <w:tr w:rsidR="0030208D" w:rsidRPr="00975B07" w:rsidTr="001E2BBD">
        <w:tc>
          <w:tcPr>
            <w:tcW w:w="1701" w:type="dxa"/>
            <w:tcBorders>
              <w:top w:val="nil"/>
              <w:left w:val="single" w:sz="8" w:space="0" w:color="000000"/>
              <w:bottom w:val="single" w:sz="8" w:space="0" w:color="000000"/>
              <w:right w:val="nil"/>
            </w:tcBorders>
            <w:shd w:val="clear" w:color="auto" w:fill="auto"/>
          </w:tcPr>
          <w:p w:rsidR="0030208D" w:rsidRPr="00975B07" w:rsidRDefault="0030208D" w:rsidP="004A6D2F">
            <w:r w:rsidRPr="00975B07">
              <w:t xml:space="preserve">Appendix </w:t>
            </w:r>
            <w:r w:rsidR="0028145F">
              <w:t>2</w:t>
            </w:r>
          </w:p>
        </w:tc>
        <w:tc>
          <w:tcPr>
            <w:tcW w:w="7371" w:type="dxa"/>
            <w:tcBorders>
              <w:top w:val="nil"/>
              <w:left w:val="nil"/>
              <w:bottom w:val="single" w:sz="8" w:space="0" w:color="000000"/>
              <w:right w:val="single" w:sz="8" w:space="0" w:color="000000"/>
            </w:tcBorders>
          </w:tcPr>
          <w:p w:rsidR="0030208D" w:rsidRPr="001356F1" w:rsidRDefault="00FB76AF" w:rsidP="004A6D2F">
            <w:r w:rsidRPr="00FB76AF">
              <w:t>Risk Register</w:t>
            </w:r>
          </w:p>
        </w:tc>
      </w:tr>
    </w:tbl>
    <w:p w:rsidR="0040736F" w:rsidRPr="001356F1" w:rsidRDefault="00F66DCA" w:rsidP="004A6D2F">
      <w:pPr>
        <w:pStyle w:val="Heading1"/>
      </w:pPr>
      <w:r w:rsidRPr="001356F1">
        <w:t>Introduction and b</w:t>
      </w:r>
      <w:r w:rsidR="00151888" w:rsidRPr="001356F1">
        <w:t>ackground</w:t>
      </w:r>
      <w:r w:rsidR="00404032" w:rsidRPr="001356F1">
        <w:t xml:space="preserve"> </w:t>
      </w:r>
    </w:p>
    <w:p w:rsidR="00817EBF" w:rsidRDefault="00817EBF" w:rsidP="00817EBF">
      <w:pPr>
        <w:pStyle w:val="ListParagraph"/>
      </w:pPr>
      <w:r w:rsidRPr="00AD7FC1">
        <w:t xml:space="preserve">The Localism Act </w:t>
      </w:r>
      <w:r w:rsidR="00671F9D">
        <w:t xml:space="preserve">2011 </w:t>
      </w:r>
      <w:r w:rsidRPr="00AD7FC1">
        <w:t xml:space="preserve">introduced new rights and powers to enable communities to get directly involved in planning for their areas.  Neighbourhood planning allows interested communities to come together through a </w:t>
      </w:r>
      <w:r>
        <w:t>N</w:t>
      </w:r>
      <w:r w:rsidRPr="00AD7FC1">
        <w:t xml:space="preserve">eighbourhood </w:t>
      </w:r>
      <w:r>
        <w:t>F</w:t>
      </w:r>
      <w:r w:rsidRPr="00AD7FC1">
        <w:t xml:space="preserve">orum </w:t>
      </w:r>
      <w:r>
        <w:t xml:space="preserve">to </w:t>
      </w:r>
      <w:r w:rsidRPr="00AD7FC1">
        <w:t xml:space="preserve">produce a </w:t>
      </w:r>
      <w:r>
        <w:t>N</w:t>
      </w:r>
      <w:r w:rsidRPr="00AD7FC1">
        <w:t xml:space="preserve">eighbourhood </w:t>
      </w:r>
      <w:r>
        <w:t>P</w:t>
      </w:r>
      <w:r w:rsidRPr="00AD7FC1">
        <w:t xml:space="preserve">lan.  Once </w:t>
      </w:r>
      <w:r>
        <w:t xml:space="preserve">a </w:t>
      </w:r>
      <w:r w:rsidRPr="00AD7FC1">
        <w:t>Neighbourhood Plan is adopted or ‘made’ it will become part of the statutory development plan, and therefore an important consideration when making decisions on planning applications.</w:t>
      </w:r>
    </w:p>
    <w:p w:rsidR="009A1D36" w:rsidRPr="00A1463B" w:rsidRDefault="009A1D36" w:rsidP="009A1D36">
      <w:pPr>
        <w:pStyle w:val="ListParagraph"/>
        <w:numPr>
          <w:ilvl w:val="0"/>
          <w:numId w:val="0"/>
        </w:numPr>
        <w:ind w:left="426"/>
      </w:pPr>
    </w:p>
    <w:p w:rsidR="00AF4BFB" w:rsidRDefault="00F2265B" w:rsidP="00AF4BFB">
      <w:pPr>
        <w:pStyle w:val="ListParagraph"/>
      </w:pPr>
      <w:r>
        <w:t>Stages to date:</w:t>
      </w:r>
    </w:p>
    <w:p w:rsidR="00AF4BFB" w:rsidRPr="00F2265B" w:rsidRDefault="00AF4BFB" w:rsidP="00AF4BFB">
      <w:pPr>
        <w:pStyle w:val="ListParagraph"/>
        <w:numPr>
          <w:ilvl w:val="0"/>
          <w:numId w:val="37"/>
        </w:numPr>
      </w:pPr>
      <w:r>
        <w:rPr>
          <w:rFonts w:cs="Arial"/>
          <w:color w:val="auto"/>
        </w:rPr>
        <w:t xml:space="preserve">The </w:t>
      </w:r>
      <w:r w:rsidR="00471AEE">
        <w:rPr>
          <w:rFonts w:cs="Arial"/>
          <w:color w:val="auto"/>
        </w:rPr>
        <w:t xml:space="preserve">Headington </w:t>
      </w:r>
      <w:r>
        <w:rPr>
          <w:rFonts w:cs="Arial"/>
          <w:color w:val="auto"/>
        </w:rPr>
        <w:t>Neighbourhood A</w:t>
      </w:r>
      <w:r w:rsidRPr="00F2265B">
        <w:rPr>
          <w:rFonts w:cs="Arial"/>
          <w:color w:val="auto"/>
        </w:rPr>
        <w:t>rea was designated by Oxford City</w:t>
      </w:r>
      <w:r>
        <w:rPr>
          <w:rFonts w:cs="Arial"/>
          <w:color w:val="auto"/>
        </w:rPr>
        <w:t xml:space="preserve"> </w:t>
      </w:r>
      <w:r w:rsidRPr="00F2265B">
        <w:rPr>
          <w:rFonts w:cs="Arial"/>
          <w:color w:val="auto"/>
        </w:rPr>
        <w:t>Council on 23</w:t>
      </w:r>
      <w:r>
        <w:rPr>
          <w:rFonts w:cs="Arial"/>
          <w:color w:val="auto"/>
        </w:rPr>
        <w:t xml:space="preserve"> </w:t>
      </w:r>
      <w:r w:rsidRPr="00F2265B">
        <w:rPr>
          <w:rFonts w:cs="Arial"/>
          <w:color w:val="auto"/>
        </w:rPr>
        <w:t>April 2014.</w:t>
      </w:r>
    </w:p>
    <w:p w:rsidR="00AF4BFB" w:rsidRDefault="00471AEE" w:rsidP="00AF4BFB">
      <w:pPr>
        <w:pStyle w:val="ListParagraph"/>
        <w:numPr>
          <w:ilvl w:val="0"/>
          <w:numId w:val="37"/>
        </w:numPr>
      </w:pPr>
      <w:r>
        <w:t xml:space="preserve">The </w:t>
      </w:r>
      <w:r w:rsidR="00AF4BFB">
        <w:t xml:space="preserve">Draft Headington Neighbourhood Plan 2017-2032 </w:t>
      </w:r>
      <w:r>
        <w:t xml:space="preserve">was </w:t>
      </w:r>
      <w:r w:rsidR="00AF4BFB">
        <w:t>submitted by the Headington Neighbourhood Forum on 13 June 2016</w:t>
      </w:r>
    </w:p>
    <w:p w:rsidR="00AF4BFB" w:rsidRDefault="00AF4BFB" w:rsidP="00AF4BFB">
      <w:pPr>
        <w:pStyle w:val="ListParagraph"/>
        <w:numPr>
          <w:ilvl w:val="0"/>
          <w:numId w:val="37"/>
        </w:numPr>
      </w:pPr>
      <w:r>
        <w:t>The Submission Stage Consultation (Regulation 16) took place for 6 weeks between Friday 26 August 2016 and Friday 7 October 2016</w:t>
      </w:r>
    </w:p>
    <w:p w:rsidR="00AF4BFB" w:rsidRDefault="00D150BD" w:rsidP="00AF4BFB">
      <w:pPr>
        <w:pStyle w:val="ListParagraph"/>
        <w:numPr>
          <w:ilvl w:val="0"/>
          <w:numId w:val="37"/>
        </w:numPr>
      </w:pPr>
      <w:r>
        <w:t>The E</w:t>
      </w:r>
      <w:r w:rsidR="00AF4BFB">
        <w:t xml:space="preserve">xamination </w:t>
      </w:r>
      <w:r>
        <w:t>period began on the 7</w:t>
      </w:r>
      <w:r w:rsidRPr="00D150BD">
        <w:rPr>
          <w:vertAlign w:val="superscript"/>
        </w:rPr>
        <w:t>th</w:t>
      </w:r>
      <w:r>
        <w:t xml:space="preserve"> October 2016 (via written representations)</w:t>
      </w:r>
    </w:p>
    <w:p w:rsidR="00AF4BFB" w:rsidRDefault="00AF4BFB" w:rsidP="00AF4BFB">
      <w:pPr>
        <w:pStyle w:val="ListParagraph"/>
        <w:numPr>
          <w:ilvl w:val="0"/>
          <w:numId w:val="37"/>
        </w:numPr>
      </w:pPr>
      <w:r>
        <w:t xml:space="preserve">Examiners report </w:t>
      </w:r>
      <w:r w:rsidR="00D150BD">
        <w:t xml:space="preserve">was </w:t>
      </w:r>
      <w:r>
        <w:t xml:space="preserve">received on 4 January 2017. </w:t>
      </w:r>
      <w:r w:rsidRPr="00BD15D5">
        <w:t>The Examiner was satisfied with the Plan subject to a number of recommended changes to policies in the plan</w:t>
      </w:r>
      <w:r>
        <w:t xml:space="preserve"> and that the Plan should proceed to referendum</w:t>
      </w:r>
      <w:r w:rsidRPr="00BD15D5">
        <w:t xml:space="preserve">.  </w:t>
      </w:r>
    </w:p>
    <w:p w:rsidR="00AF4BFB" w:rsidRPr="00BD15D5" w:rsidRDefault="00AF4BFB" w:rsidP="00AF4BFB">
      <w:pPr>
        <w:pStyle w:val="Heading1"/>
      </w:pPr>
      <w:r w:rsidRPr="00BD15D5">
        <w:t xml:space="preserve">The </w:t>
      </w:r>
      <w:r>
        <w:t>Referendum</w:t>
      </w:r>
      <w:r w:rsidRPr="00BD15D5">
        <w:t xml:space="preserve"> </w:t>
      </w:r>
    </w:p>
    <w:p w:rsidR="00AF4BFB" w:rsidRDefault="00AF4BFB" w:rsidP="00AF4BFB">
      <w:pPr>
        <w:pStyle w:val="ListParagraph"/>
        <w:shd w:val="clear" w:color="auto" w:fill="FFFFFF"/>
        <w:spacing w:before="120"/>
        <w:rPr>
          <w:rFonts w:cs="Arial"/>
          <w:color w:val="auto"/>
        </w:rPr>
      </w:pPr>
      <w:r w:rsidRPr="00AF4BFB">
        <w:rPr>
          <w:rFonts w:cs="Arial"/>
          <w:color w:val="auto"/>
        </w:rPr>
        <w:t xml:space="preserve">On Thursday 4 May 2017, the referendum on the </w:t>
      </w:r>
      <w:r w:rsidR="00471AEE">
        <w:rPr>
          <w:rFonts w:cs="Arial"/>
          <w:color w:val="auto"/>
        </w:rPr>
        <w:t>Headington N</w:t>
      </w:r>
      <w:r w:rsidRPr="00AF4BFB">
        <w:rPr>
          <w:rFonts w:cs="Arial"/>
          <w:color w:val="auto"/>
        </w:rPr>
        <w:t xml:space="preserve">eighbourhood </w:t>
      </w:r>
      <w:r w:rsidR="00471AEE">
        <w:rPr>
          <w:rFonts w:cs="Arial"/>
          <w:color w:val="auto"/>
        </w:rPr>
        <w:t xml:space="preserve">Plan </w:t>
      </w:r>
      <w:r w:rsidRPr="00AF4BFB">
        <w:rPr>
          <w:rFonts w:cs="Arial"/>
          <w:color w:val="auto"/>
        </w:rPr>
        <w:t>took place.</w:t>
      </w:r>
      <w:r>
        <w:rPr>
          <w:rFonts w:cs="Arial"/>
          <w:color w:val="auto"/>
        </w:rPr>
        <w:t xml:space="preserve"> </w:t>
      </w:r>
      <w:r w:rsidRPr="00AF4BFB">
        <w:rPr>
          <w:rFonts w:cs="Arial"/>
          <w:color w:val="auto"/>
        </w:rPr>
        <w:t xml:space="preserve">The question asked </w:t>
      </w:r>
      <w:r w:rsidR="00471AEE">
        <w:rPr>
          <w:rFonts w:cs="Arial"/>
          <w:color w:val="auto"/>
        </w:rPr>
        <w:t xml:space="preserve">of residents within the Headington Neighbourhood Plan Area </w:t>
      </w:r>
      <w:r w:rsidRPr="00AF4BFB">
        <w:rPr>
          <w:rFonts w:cs="Arial"/>
          <w:color w:val="auto"/>
        </w:rPr>
        <w:t>was:</w:t>
      </w:r>
    </w:p>
    <w:p w:rsidR="00AF4BFB" w:rsidRDefault="00AF4BFB" w:rsidP="00AF4BFB">
      <w:pPr>
        <w:pStyle w:val="ListParagraph"/>
        <w:numPr>
          <w:ilvl w:val="0"/>
          <w:numId w:val="0"/>
        </w:numPr>
        <w:shd w:val="clear" w:color="auto" w:fill="FFFFFF"/>
        <w:spacing w:before="120"/>
        <w:ind w:left="426"/>
        <w:rPr>
          <w:rFonts w:cs="Arial"/>
          <w:i/>
          <w:color w:val="auto"/>
        </w:rPr>
      </w:pPr>
      <w:r w:rsidRPr="00AF4BFB">
        <w:rPr>
          <w:rFonts w:cs="Arial"/>
          <w:i/>
          <w:color w:val="auto"/>
        </w:rPr>
        <w:t>Do you want Oxford City Council to use the neighbourhood plan for Headington to help it decide planning applications in the neighbourhood area? </w:t>
      </w:r>
    </w:p>
    <w:p w:rsidR="00AF4BFB" w:rsidRDefault="00AF4BFB" w:rsidP="00820652">
      <w:pPr>
        <w:pStyle w:val="ListParagraph"/>
        <w:numPr>
          <w:ilvl w:val="0"/>
          <w:numId w:val="0"/>
        </w:numPr>
        <w:shd w:val="clear" w:color="auto" w:fill="FFFFFF"/>
        <w:spacing w:after="0"/>
        <w:ind w:left="426"/>
        <w:rPr>
          <w:rFonts w:cs="Arial"/>
          <w:color w:val="auto"/>
        </w:rPr>
      </w:pPr>
      <w:r w:rsidRPr="00AF4BFB">
        <w:rPr>
          <w:rFonts w:cs="Arial"/>
          <w:color w:val="auto"/>
        </w:rPr>
        <w:t xml:space="preserve">Results were announced late on Thursday 4 May 2017 and </w:t>
      </w:r>
      <w:r>
        <w:rPr>
          <w:rFonts w:cs="Arial"/>
          <w:color w:val="auto"/>
        </w:rPr>
        <w:t>were as follows</w:t>
      </w:r>
      <w:r w:rsidRPr="00AF4BFB">
        <w:rPr>
          <w:rFonts w:cs="Arial"/>
          <w:color w:val="auto"/>
        </w:rPr>
        <w:t>:</w:t>
      </w:r>
      <w:r>
        <w:rPr>
          <w:rFonts w:cs="Arial"/>
          <w:color w:val="auto"/>
        </w:rPr>
        <w:t xml:space="preserve"> </w:t>
      </w:r>
    </w:p>
    <w:p w:rsidR="00AF4BFB" w:rsidRPr="00AF4BFB" w:rsidRDefault="00AF4BFB" w:rsidP="00820652">
      <w:pPr>
        <w:pStyle w:val="ListParagraph"/>
        <w:numPr>
          <w:ilvl w:val="0"/>
          <w:numId w:val="0"/>
        </w:numPr>
        <w:shd w:val="clear" w:color="auto" w:fill="FFFFFF"/>
        <w:spacing w:after="0"/>
        <w:ind w:left="425"/>
        <w:rPr>
          <w:rFonts w:cs="Arial"/>
          <w:color w:val="auto"/>
        </w:rPr>
      </w:pPr>
      <w:r w:rsidRPr="00AF4BFB">
        <w:rPr>
          <w:rFonts w:cs="Arial"/>
          <w:color w:val="auto"/>
        </w:rPr>
        <w:t>Yes: 3,310</w:t>
      </w:r>
      <w:r>
        <w:rPr>
          <w:rFonts w:cs="Arial"/>
          <w:color w:val="auto"/>
        </w:rPr>
        <w:t xml:space="preserve">; </w:t>
      </w:r>
      <w:r w:rsidRPr="00AF4BFB">
        <w:rPr>
          <w:rFonts w:cs="Arial"/>
          <w:color w:val="auto"/>
        </w:rPr>
        <w:t>No: 543</w:t>
      </w:r>
      <w:r>
        <w:rPr>
          <w:rFonts w:cs="Arial"/>
          <w:color w:val="auto"/>
        </w:rPr>
        <w:t xml:space="preserve">. </w:t>
      </w:r>
      <w:r w:rsidR="00820652">
        <w:rPr>
          <w:rFonts w:cs="Arial"/>
          <w:color w:val="auto"/>
        </w:rPr>
        <w:t>(</w:t>
      </w:r>
      <w:r w:rsidRPr="00AF4BFB">
        <w:rPr>
          <w:rFonts w:cs="Arial"/>
          <w:color w:val="auto"/>
        </w:rPr>
        <w:t>Turnout: 38%</w:t>
      </w:r>
      <w:r w:rsidR="00820652">
        <w:rPr>
          <w:rFonts w:cs="Arial"/>
          <w:color w:val="auto"/>
        </w:rPr>
        <w:t>)</w:t>
      </w:r>
    </w:p>
    <w:p w:rsidR="0028145F" w:rsidRPr="00AF4BFB" w:rsidRDefault="0028145F" w:rsidP="0028145F">
      <w:pPr>
        <w:pStyle w:val="bParagraphtext"/>
        <w:numPr>
          <w:ilvl w:val="0"/>
          <w:numId w:val="0"/>
        </w:numPr>
        <w:spacing w:before="240"/>
        <w:rPr>
          <w:rStyle w:val="Firstpagetablebold"/>
        </w:rPr>
      </w:pPr>
      <w:r>
        <w:rPr>
          <w:rStyle w:val="Firstpagetablebold"/>
        </w:rPr>
        <w:t>The City Council’s responsibility following the referendum</w:t>
      </w:r>
    </w:p>
    <w:p w:rsidR="00AF4BFB" w:rsidRPr="005A5C1C" w:rsidRDefault="00AF4BFB" w:rsidP="00AF4BFB">
      <w:pPr>
        <w:pStyle w:val="bParagraphtext"/>
        <w:spacing w:before="120"/>
        <w:rPr>
          <w:rStyle w:val="Firstpagetablebold"/>
          <w:rFonts w:cs="Arial"/>
          <w:b w:val="0"/>
        </w:rPr>
      </w:pPr>
      <w:r>
        <w:rPr>
          <w:rStyle w:val="Firstpagetablebold"/>
          <w:b w:val="0"/>
        </w:rPr>
        <w:t>As</w:t>
      </w:r>
      <w:r w:rsidR="003F79BB">
        <w:rPr>
          <w:rStyle w:val="Firstpagetablebold"/>
          <w:b w:val="0"/>
        </w:rPr>
        <w:t xml:space="preserve"> more than half of those voting in the referendum vote</w:t>
      </w:r>
      <w:r w:rsidR="00820652">
        <w:rPr>
          <w:rStyle w:val="Firstpagetablebold"/>
          <w:b w:val="0"/>
        </w:rPr>
        <w:t>d</w:t>
      </w:r>
      <w:r w:rsidR="003F79BB">
        <w:rPr>
          <w:rStyle w:val="Firstpagetablebold"/>
          <w:b w:val="0"/>
        </w:rPr>
        <w:t xml:space="preserve"> </w:t>
      </w:r>
      <w:r w:rsidR="003F79BB" w:rsidRPr="003042BB">
        <w:rPr>
          <w:rStyle w:val="Firstpagetablebold"/>
          <w:rFonts w:cs="Arial"/>
          <w:b w:val="0"/>
        </w:rPr>
        <w:t xml:space="preserve">in favour of the Plan the Council </w:t>
      </w:r>
      <w:r w:rsidR="005A5C1C">
        <w:rPr>
          <w:rStyle w:val="Firstpagetablebold"/>
          <w:rFonts w:cs="Arial"/>
          <w:b w:val="0"/>
        </w:rPr>
        <w:t xml:space="preserve">has a duty </w:t>
      </w:r>
      <w:r w:rsidR="003F79BB" w:rsidRPr="003042BB">
        <w:rPr>
          <w:rStyle w:val="Firstpagetablebold"/>
          <w:rFonts w:cs="Arial"/>
          <w:b w:val="0"/>
        </w:rPr>
        <w:t xml:space="preserve">to </w:t>
      </w:r>
      <w:r w:rsidR="0028145F" w:rsidRPr="003042BB">
        <w:rPr>
          <w:rStyle w:val="Firstpagetablebold"/>
          <w:rFonts w:cs="Arial"/>
          <w:b w:val="0"/>
        </w:rPr>
        <w:t>‘</w:t>
      </w:r>
      <w:r w:rsidR="003F79BB" w:rsidRPr="003042BB">
        <w:rPr>
          <w:rStyle w:val="Firstpagetablebold"/>
          <w:rFonts w:cs="Arial"/>
          <w:b w:val="0"/>
        </w:rPr>
        <w:t>make</w:t>
      </w:r>
      <w:r w:rsidR="0028145F" w:rsidRPr="003042BB">
        <w:rPr>
          <w:rStyle w:val="Firstpagetablebold"/>
          <w:rFonts w:cs="Arial"/>
          <w:b w:val="0"/>
        </w:rPr>
        <w:t>’ the</w:t>
      </w:r>
      <w:r w:rsidR="003F79BB" w:rsidRPr="003042BB">
        <w:rPr>
          <w:rStyle w:val="Firstpagetablebold"/>
          <w:rFonts w:cs="Arial"/>
          <w:b w:val="0"/>
        </w:rPr>
        <w:t xml:space="preserve"> plan</w:t>
      </w:r>
      <w:r w:rsidR="00820652" w:rsidRPr="005A5C1C">
        <w:rPr>
          <w:rStyle w:val="Firstpagetablebold"/>
          <w:rFonts w:cs="Arial"/>
          <w:b w:val="0"/>
        </w:rPr>
        <w:t>.</w:t>
      </w:r>
      <w:r w:rsidR="003F79BB" w:rsidRPr="005A5C1C">
        <w:rPr>
          <w:rStyle w:val="Firstpagetablebold"/>
          <w:rFonts w:cs="Arial"/>
          <w:b w:val="0"/>
        </w:rPr>
        <w:t xml:space="preserve"> </w:t>
      </w:r>
      <w:r w:rsidR="0028145F" w:rsidRPr="005A5C1C">
        <w:rPr>
          <w:rStyle w:val="Firstpagetablebold"/>
          <w:rFonts w:cs="Arial"/>
          <w:b w:val="0"/>
        </w:rPr>
        <w:t>This is a legislative requirement (</w:t>
      </w:r>
      <w:r w:rsidR="003042BB" w:rsidRPr="00D836B4">
        <w:rPr>
          <w:rFonts w:cs="Arial"/>
          <w:bCs/>
          <w:i/>
          <w:color w:val="auto"/>
        </w:rPr>
        <w:t>Planning and Compulsory Purchase Act 2004</w:t>
      </w:r>
      <w:r w:rsidR="005A5C1C" w:rsidRPr="00D836B4">
        <w:rPr>
          <w:rFonts w:cs="Arial"/>
          <w:bCs/>
          <w:i/>
          <w:color w:val="auto"/>
        </w:rPr>
        <w:t xml:space="preserve"> s38A (4a)</w:t>
      </w:r>
      <w:r w:rsidR="005A5C1C">
        <w:rPr>
          <w:rStyle w:val="Firstpagetablebold"/>
          <w:rFonts w:cs="Arial"/>
          <w:b w:val="0"/>
        </w:rPr>
        <w:t>).</w:t>
      </w:r>
    </w:p>
    <w:p w:rsidR="005A5C1C" w:rsidRPr="005A5C1C" w:rsidRDefault="005A5C1C" w:rsidP="005A5C1C">
      <w:pPr>
        <w:pStyle w:val="bParagraphtext"/>
        <w:autoSpaceDE w:val="0"/>
        <w:autoSpaceDN w:val="0"/>
        <w:adjustRightInd w:val="0"/>
        <w:spacing w:before="120" w:after="0"/>
        <w:rPr>
          <w:rStyle w:val="Firstpagetablebold"/>
          <w:rFonts w:cs="Arial"/>
          <w:b w:val="0"/>
        </w:rPr>
      </w:pPr>
      <w:r w:rsidRPr="005A5C1C">
        <w:rPr>
          <w:rStyle w:val="Firstpagetablebold"/>
          <w:rFonts w:cs="Arial"/>
          <w:b w:val="0"/>
        </w:rPr>
        <w:t>The City Council would</w:t>
      </w:r>
      <w:r w:rsidRPr="005A5C1C">
        <w:rPr>
          <w:rFonts w:cs="Arial"/>
          <w:color w:val="auto"/>
        </w:rPr>
        <w:t xml:space="preserve"> not be under the duty to </w:t>
      </w:r>
      <w:r>
        <w:rPr>
          <w:rFonts w:cs="Arial"/>
          <w:color w:val="auto"/>
        </w:rPr>
        <w:t>‘</w:t>
      </w:r>
      <w:r w:rsidRPr="005A5C1C">
        <w:rPr>
          <w:rFonts w:cs="Arial"/>
          <w:color w:val="auto"/>
        </w:rPr>
        <w:t>make</w:t>
      </w:r>
      <w:r>
        <w:rPr>
          <w:rFonts w:cs="Arial"/>
          <w:color w:val="auto"/>
        </w:rPr>
        <w:t>’</w:t>
      </w:r>
      <w:r w:rsidRPr="005A5C1C">
        <w:rPr>
          <w:rFonts w:cs="Arial"/>
          <w:color w:val="auto"/>
        </w:rPr>
        <w:t xml:space="preserve"> the Plan if they consider that the</w:t>
      </w:r>
      <w:r>
        <w:rPr>
          <w:rFonts w:cs="Arial"/>
          <w:color w:val="auto"/>
        </w:rPr>
        <w:t xml:space="preserve"> </w:t>
      </w:r>
      <w:r w:rsidRPr="005A5C1C">
        <w:rPr>
          <w:rFonts w:cs="Arial"/>
          <w:color w:val="auto"/>
        </w:rPr>
        <w:t>making of the plan would breach, or would otherwise be incompatible with, any EU obligation or any of the Convention rights (within the meaning of the Human Rights Act 1998)</w:t>
      </w:r>
      <w:r>
        <w:rPr>
          <w:rFonts w:cs="Arial"/>
          <w:color w:val="auto"/>
        </w:rPr>
        <w:t xml:space="preserve"> </w:t>
      </w:r>
      <w:r w:rsidR="00D150BD">
        <w:rPr>
          <w:rFonts w:cs="Arial"/>
          <w:color w:val="auto"/>
        </w:rPr>
        <w:t>(</w:t>
      </w:r>
      <w:r w:rsidR="00D150BD" w:rsidRPr="00D836B4">
        <w:rPr>
          <w:rFonts w:cs="Arial"/>
          <w:bCs/>
          <w:i/>
          <w:color w:val="auto"/>
        </w:rPr>
        <w:t xml:space="preserve">Planning and Compulsory Purchase Act 2004 </w:t>
      </w:r>
      <w:r w:rsidR="00D150BD" w:rsidRPr="00D150BD">
        <w:rPr>
          <w:rFonts w:cs="Arial"/>
          <w:i/>
          <w:color w:val="auto"/>
        </w:rPr>
        <w:t>s38A(6)</w:t>
      </w:r>
      <w:r w:rsidR="00D150BD">
        <w:rPr>
          <w:rFonts w:cs="Arial"/>
          <w:color w:val="auto"/>
        </w:rPr>
        <w:t xml:space="preserve">). </w:t>
      </w:r>
      <w:r>
        <w:rPr>
          <w:rFonts w:cs="Arial"/>
          <w:color w:val="auto"/>
        </w:rPr>
        <w:t>This is not considered</w:t>
      </w:r>
      <w:r w:rsidR="00D150BD">
        <w:rPr>
          <w:rFonts w:cs="Arial"/>
          <w:color w:val="auto"/>
        </w:rPr>
        <w:t xml:space="preserve"> to be the case and therefore th</w:t>
      </w:r>
      <w:r>
        <w:rPr>
          <w:rFonts w:cs="Arial"/>
          <w:color w:val="auto"/>
        </w:rPr>
        <w:t xml:space="preserve">e City Council </w:t>
      </w:r>
      <w:r w:rsidR="00AF35FE">
        <w:rPr>
          <w:rFonts w:cs="Arial"/>
          <w:color w:val="auto"/>
        </w:rPr>
        <w:t xml:space="preserve">is able to use </w:t>
      </w:r>
      <w:proofErr w:type="gramStart"/>
      <w:r w:rsidR="00AF35FE">
        <w:rPr>
          <w:rFonts w:cs="Arial"/>
          <w:color w:val="auto"/>
        </w:rPr>
        <w:t xml:space="preserve">its </w:t>
      </w:r>
      <w:r>
        <w:rPr>
          <w:rFonts w:cs="Arial"/>
          <w:color w:val="auto"/>
        </w:rPr>
        <w:t xml:space="preserve"> duty</w:t>
      </w:r>
      <w:proofErr w:type="gramEnd"/>
      <w:r>
        <w:rPr>
          <w:rFonts w:cs="Arial"/>
          <w:color w:val="auto"/>
        </w:rPr>
        <w:t xml:space="preserve"> to ‘make’ the Plan</w:t>
      </w:r>
      <w:r w:rsidR="00D836B4">
        <w:rPr>
          <w:rFonts w:cs="Arial"/>
          <w:color w:val="auto"/>
        </w:rPr>
        <w:t>.</w:t>
      </w:r>
    </w:p>
    <w:p w:rsidR="0028145F" w:rsidRDefault="00D836B4" w:rsidP="00AF4BFB">
      <w:pPr>
        <w:pStyle w:val="bParagraphtext"/>
        <w:spacing w:before="120"/>
        <w:rPr>
          <w:rStyle w:val="Firstpagetablebold"/>
          <w:b w:val="0"/>
        </w:rPr>
      </w:pPr>
      <w:r>
        <w:rPr>
          <w:rStyle w:val="Firstpagetablebold"/>
          <w:rFonts w:cs="Arial"/>
          <w:b w:val="0"/>
        </w:rPr>
        <w:t>Officers are</w:t>
      </w:r>
      <w:r w:rsidR="0028145F" w:rsidRPr="005A5C1C">
        <w:rPr>
          <w:rStyle w:val="Firstpagetablebold"/>
          <w:rFonts w:cs="Arial"/>
          <w:b w:val="0"/>
        </w:rPr>
        <w:t xml:space="preserve"> pleased that the Neighbourhood Plan has been</w:t>
      </w:r>
      <w:r w:rsidR="0028145F">
        <w:rPr>
          <w:rStyle w:val="Firstpagetablebold"/>
          <w:b w:val="0"/>
        </w:rPr>
        <w:t xml:space="preserve"> supported by the community and recognises the hard work undergone by the Neighbourhood Forum to get to this po</w:t>
      </w:r>
      <w:r w:rsidR="005A5C1C">
        <w:rPr>
          <w:rStyle w:val="Firstpagetablebold"/>
          <w:b w:val="0"/>
        </w:rPr>
        <w:t>sition</w:t>
      </w:r>
      <w:r w:rsidR="0028145F">
        <w:rPr>
          <w:rStyle w:val="Firstpagetablebold"/>
          <w:b w:val="0"/>
        </w:rPr>
        <w:t>.</w:t>
      </w:r>
    </w:p>
    <w:p w:rsidR="00427498" w:rsidRPr="00BA5F16" w:rsidRDefault="00427498" w:rsidP="0028145F">
      <w:pPr>
        <w:pStyle w:val="bParagraphtext"/>
        <w:numPr>
          <w:ilvl w:val="0"/>
          <w:numId w:val="0"/>
        </w:numPr>
        <w:tabs>
          <w:tab w:val="clear" w:pos="426"/>
          <w:tab w:val="left" w:pos="284"/>
        </w:tabs>
        <w:spacing w:before="240"/>
        <w:rPr>
          <w:rStyle w:val="Firstpagetablebold"/>
        </w:rPr>
      </w:pPr>
      <w:r w:rsidRPr="00BA5F16">
        <w:rPr>
          <w:rStyle w:val="Firstpagetablebold"/>
        </w:rPr>
        <w:t xml:space="preserve">Environmental Impact </w:t>
      </w:r>
    </w:p>
    <w:p w:rsidR="00DC6960" w:rsidRDefault="00325F7A" w:rsidP="009A1D36">
      <w:pPr>
        <w:pStyle w:val="ListParagraph"/>
        <w:rPr>
          <w:rStyle w:val="Firstpagetablebold"/>
          <w:b w:val="0"/>
        </w:rPr>
      </w:pPr>
      <w:r w:rsidRPr="00BA5F16">
        <w:rPr>
          <w:rStyle w:val="Firstpagetablebold"/>
          <w:b w:val="0"/>
        </w:rPr>
        <w:t xml:space="preserve">A combined Strategic Environmental Assessment and Habitat Regulations Assessment Screening Statement </w:t>
      </w:r>
      <w:proofErr w:type="gramStart"/>
      <w:r w:rsidRPr="00BA5F16">
        <w:rPr>
          <w:rStyle w:val="Firstpagetablebold"/>
          <w:b w:val="0"/>
        </w:rPr>
        <w:t>was</w:t>
      </w:r>
      <w:proofErr w:type="gramEnd"/>
      <w:r w:rsidRPr="00BA5F16">
        <w:rPr>
          <w:rStyle w:val="Firstpagetablebold"/>
          <w:b w:val="0"/>
        </w:rPr>
        <w:t xml:space="preserve"> submitted as part of the supporting evidence</w:t>
      </w:r>
      <w:r w:rsidR="00DD494B">
        <w:rPr>
          <w:rStyle w:val="Firstpagetablebold"/>
          <w:b w:val="0"/>
        </w:rPr>
        <w:t xml:space="preserve"> to the examination</w:t>
      </w:r>
      <w:r w:rsidRPr="00BA5F16">
        <w:rPr>
          <w:rStyle w:val="Firstpagetablebold"/>
          <w:b w:val="0"/>
        </w:rPr>
        <w:t>.  The conclusions of this statement consider that the Headington Neighbourhood Plan is unlikely to have significant environmental effects on the environment</w:t>
      </w:r>
      <w:r w:rsidR="00DD494B">
        <w:rPr>
          <w:rStyle w:val="Firstpagetablebold"/>
          <w:b w:val="0"/>
        </w:rPr>
        <w:t xml:space="preserve"> and</w:t>
      </w:r>
      <w:r w:rsidRPr="00BA5F16">
        <w:rPr>
          <w:rStyle w:val="Firstpagetablebold"/>
          <w:b w:val="0"/>
        </w:rPr>
        <w:t xml:space="preserve"> is unlikely to impact on the Oxford Meadows SAC.  </w:t>
      </w:r>
    </w:p>
    <w:p w:rsidR="009A1D36" w:rsidRDefault="009A1D36" w:rsidP="009A1D36">
      <w:pPr>
        <w:pStyle w:val="ListParagraph"/>
        <w:numPr>
          <w:ilvl w:val="0"/>
          <w:numId w:val="0"/>
        </w:numPr>
        <w:ind w:left="426"/>
        <w:rPr>
          <w:rStyle w:val="Firstpagetablebold"/>
          <w:b w:val="0"/>
        </w:rPr>
      </w:pPr>
    </w:p>
    <w:p w:rsidR="009A1D36" w:rsidRPr="009A1D36" w:rsidRDefault="009A1D36" w:rsidP="009A1D36">
      <w:pPr>
        <w:pStyle w:val="ListParagraph"/>
        <w:numPr>
          <w:ilvl w:val="0"/>
          <w:numId w:val="0"/>
        </w:numPr>
        <w:ind w:left="426"/>
        <w:rPr>
          <w:rStyle w:val="Firstpagetablebold"/>
          <w:b w:val="0"/>
        </w:rPr>
      </w:pPr>
    </w:p>
    <w:p w:rsidR="00427498" w:rsidRPr="00BA5F16" w:rsidRDefault="00427498" w:rsidP="0028145F">
      <w:pPr>
        <w:pStyle w:val="bParagraphtext"/>
        <w:numPr>
          <w:ilvl w:val="0"/>
          <w:numId w:val="0"/>
        </w:numPr>
        <w:tabs>
          <w:tab w:val="clear" w:pos="426"/>
          <w:tab w:val="left" w:pos="284"/>
        </w:tabs>
        <w:spacing w:before="240"/>
        <w:rPr>
          <w:rStyle w:val="Firstpagetablebold"/>
        </w:rPr>
      </w:pPr>
      <w:r w:rsidRPr="00BA5F16">
        <w:rPr>
          <w:rStyle w:val="Firstpagetablebold"/>
        </w:rPr>
        <w:lastRenderedPageBreak/>
        <w:t xml:space="preserve">Financial Implications </w:t>
      </w:r>
    </w:p>
    <w:p w:rsidR="00F6470F" w:rsidRPr="00BA5F16" w:rsidRDefault="0028145F" w:rsidP="00427498">
      <w:pPr>
        <w:pStyle w:val="bParagraphtext"/>
        <w:rPr>
          <w:rStyle w:val="Firstpagetablebold"/>
          <w:b w:val="0"/>
        </w:rPr>
      </w:pPr>
      <w:r>
        <w:rPr>
          <w:rStyle w:val="Firstpagetablebold"/>
          <w:b w:val="0"/>
        </w:rPr>
        <w:t>Once the Headington Neighbourhood Plan is ‘made’</w:t>
      </w:r>
      <w:r w:rsidR="00F6470F">
        <w:rPr>
          <w:rStyle w:val="Firstpagetablebold"/>
          <w:b w:val="0"/>
        </w:rPr>
        <w:t xml:space="preserve"> the neighbourhood portion of the </w:t>
      </w:r>
      <w:r>
        <w:rPr>
          <w:rStyle w:val="Firstpagetablebold"/>
          <w:b w:val="0"/>
        </w:rPr>
        <w:t>Community Infrastructure Levy</w:t>
      </w:r>
      <w:r w:rsidR="00F6470F">
        <w:rPr>
          <w:rStyle w:val="Firstpagetablebold"/>
          <w:b w:val="0"/>
        </w:rPr>
        <w:t xml:space="preserve"> receipts generated locally that can be retained and spent locally increases from 15 to 25%. </w:t>
      </w:r>
    </w:p>
    <w:p w:rsidR="00427498" w:rsidRPr="00BA5F16" w:rsidRDefault="00427498" w:rsidP="0028145F">
      <w:pPr>
        <w:pStyle w:val="bParagraphtext"/>
        <w:numPr>
          <w:ilvl w:val="0"/>
          <w:numId w:val="0"/>
        </w:numPr>
        <w:tabs>
          <w:tab w:val="clear" w:pos="426"/>
          <w:tab w:val="left" w:pos="0"/>
        </w:tabs>
        <w:spacing w:before="240"/>
        <w:rPr>
          <w:rStyle w:val="Firstpagetablebold"/>
        </w:rPr>
      </w:pPr>
      <w:r w:rsidRPr="00BA5F16">
        <w:rPr>
          <w:rStyle w:val="Firstpagetablebold"/>
        </w:rPr>
        <w:t xml:space="preserve">Legal Issues </w:t>
      </w:r>
    </w:p>
    <w:p w:rsidR="00F0354B" w:rsidRDefault="001A7E6F" w:rsidP="00F0354B">
      <w:pPr>
        <w:pStyle w:val="ListParagraph"/>
        <w:ind w:left="360" w:hanging="360"/>
      </w:pPr>
      <w:r>
        <w:t xml:space="preserve">The Council has a statutory duty to support Neighbourhood Plans pursuant to Section 61G(5) of the Town and Country Planning Act 1990 as applied to Neighbourhood Plans by Section 38A of the Planning and Compulsory Purchase Act 2004, the Neighbourhood Planning (General) (Amendment) Regulations 2015 and the Neighbourhood Planning (General) and Development Management Procedure (Amendment) Regulations. </w:t>
      </w:r>
    </w:p>
    <w:p w:rsidR="001A7E6F" w:rsidRDefault="001A7E6F" w:rsidP="00F0354B">
      <w:pPr>
        <w:pStyle w:val="ListParagraph"/>
        <w:ind w:left="360" w:hanging="360"/>
      </w:pPr>
      <w:r>
        <w:t xml:space="preserve">Timely decision taking is important particularly at the start and at the end of the process and certain decisions must be taken within prescribed time periods.  These are set out in the Neighbourhood Planning (General) (Amendment) Regulations 2015 and the Neighbourhood Planning (General) and Development Management Procedure (Amendment) Regulations 2016, which amend the Neighbourhood Planning (General) Regulations 2012.  Importantly, Councils must now “make” a neighbourhood plan (which brings the plan into full legal force) within 8 weeks of a “yes vote at Referendum. </w:t>
      </w:r>
    </w:p>
    <w:p w:rsidR="00225B01" w:rsidRDefault="001A7E6F" w:rsidP="00225B01">
      <w:pPr>
        <w:pStyle w:val="ListParagraph"/>
        <w:ind w:left="360" w:hanging="360"/>
      </w:pPr>
      <w:r>
        <w:t xml:space="preserve">Once made a neighbourhood plan will become </w:t>
      </w:r>
      <w:r w:rsidR="00225B01">
        <w:t xml:space="preserve">the development plan for the area concerned.  For this reason the Council is to be asked to adopt the Neighbourhood Plan as part of the Oxford Development Plan </w:t>
      </w:r>
    </w:p>
    <w:p w:rsidR="00427498" w:rsidRPr="00225B01" w:rsidRDefault="00427498" w:rsidP="00225B01">
      <w:pPr>
        <w:pStyle w:val="ListParagraph"/>
        <w:numPr>
          <w:ilvl w:val="0"/>
          <w:numId w:val="0"/>
        </w:numPr>
        <w:ind w:left="360"/>
        <w:rPr>
          <w:rStyle w:val="Firstpagetablebold"/>
          <w:b w:val="0"/>
        </w:rPr>
      </w:pPr>
      <w:r w:rsidRPr="00BA5F16">
        <w:rPr>
          <w:rStyle w:val="Firstpagetablebold"/>
        </w:rPr>
        <w:t>Level of risk</w:t>
      </w:r>
    </w:p>
    <w:p w:rsidR="00EF17BC" w:rsidRPr="00D836B4" w:rsidRDefault="00427498" w:rsidP="002F363D">
      <w:pPr>
        <w:pStyle w:val="bParagraphtext"/>
        <w:rPr>
          <w:rStyle w:val="Firstpagetablebold"/>
          <w:b w:val="0"/>
        </w:rPr>
      </w:pPr>
      <w:r w:rsidRPr="00D836B4">
        <w:rPr>
          <w:rStyle w:val="Firstpagetablebold"/>
          <w:b w:val="0"/>
        </w:rPr>
        <w:t>The Risk Re</w:t>
      </w:r>
      <w:r w:rsidR="0028145F" w:rsidRPr="00D836B4">
        <w:rPr>
          <w:rStyle w:val="Firstpagetablebold"/>
          <w:b w:val="0"/>
        </w:rPr>
        <w:t>gister is attached at Appendix 2</w:t>
      </w:r>
      <w:r w:rsidR="003042BB" w:rsidRPr="00D836B4">
        <w:rPr>
          <w:rStyle w:val="Firstpagetablebold"/>
          <w:b w:val="0"/>
        </w:rPr>
        <w:t>.</w:t>
      </w:r>
    </w:p>
    <w:p w:rsidR="00427498" w:rsidRPr="00BA5F16" w:rsidRDefault="00427498" w:rsidP="0028145F">
      <w:pPr>
        <w:pStyle w:val="bParagraphtext"/>
        <w:numPr>
          <w:ilvl w:val="0"/>
          <w:numId w:val="0"/>
        </w:numPr>
        <w:tabs>
          <w:tab w:val="clear" w:pos="426"/>
          <w:tab w:val="left" w:pos="0"/>
        </w:tabs>
        <w:spacing w:before="240"/>
        <w:rPr>
          <w:rStyle w:val="Firstpagetablebold"/>
        </w:rPr>
      </w:pPr>
      <w:r w:rsidRPr="00BA5F16">
        <w:rPr>
          <w:rStyle w:val="Firstpagetablebold"/>
        </w:rPr>
        <w:t xml:space="preserve">Equalities Impact </w:t>
      </w:r>
    </w:p>
    <w:p w:rsidR="002329CF" w:rsidRPr="001356F1" w:rsidRDefault="00427498" w:rsidP="003042BB">
      <w:pPr>
        <w:pStyle w:val="bParagraphtext"/>
        <w:spacing w:after="240"/>
        <w:ind w:left="425" w:hanging="425"/>
      </w:pPr>
      <w:r w:rsidRPr="003C2DC2">
        <w:rPr>
          <w:rStyle w:val="Firstpagetablebold"/>
          <w:b w:val="0"/>
        </w:rPr>
        <w:t xml:space="preserve">Consideration has been given to the public sector equality duty imposed by s149 of the Equalities Act 2010.  Having paid due regard to the need to meet the objectives of that duty the view is taken that the duty is met.  </w:t>
      </w: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397F47" w:rsidP="00A46E98">
            <w:r>
              <w:t>Richard Wyatt</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397F47" w:rsidP="00A46E98">
            <w:r>
              <w:t>Senior Planner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BA5F16" w:rsidP="00A46E98">
            <w:r>
              <w:t>Planning</w:t>
            </w:r>
            <w:r w:rsidR="00AF35FE">
              <w:t>, Sust</w:t>
            </w:r>
            <w:r w:rsidR="00E35B91">
              <w:t>ai</w:t>
            </w:r>
            <w:r w:rsidR="00AF35FE">
              <w:t>nable Development</w:t>
            </w:r>
            <w:r>
              <w:t xml:space="preserve"> and Regulatory</w:t>
            </w:r>
            <w:r w:rsidR="00AF35FE">
              <w:t xml:space="preserve">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BA5F16">
            <w:r w:rsidRPr="001356F1">
              <w:t xml:space="preserve">01865 </w:t>
            </w:r>
            <w:r w:rsidR="00BA5F16">
              <w:t>252704</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BA5F16" w:rsidP="00A46E98">
            <w:pPr>
              <w:rPr>
                <w:rStyle w:val="Hyperlink"/>
                <w:color w:val="000000"/>
              </w:rPr>
            </w:pPr>
            <w:r>
              <w:rPr>
                <w:rStyle w:val="Hyperlink"/>
                <w:color w:val="000000"/>
              </w:rPr>
              <w:t>rwyatt@oxford.gov.uk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p w:rsidR="004456DD" w:rsidRPr="009E51FC" w:rsidRDefault="004456DD" w:rsidP="0093067A"/>
    <w:sectPr w:rsidR="004456DD" w:rsidRPr="009E51FC"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9D0" w:rsidRDefault="004619D0" w:rsidP="004A6D2F">
      <w:r>
        <w:separator/>
      </w:r>
    </w:p>
  </w:endnote>
  <w:endnote w:type="continuationSeparator" w:id="0">
    <w:p w:rsidR="004619D0" w:rsidRDefault="004619D0"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9D0" w:rsidRDefault="004619D0" w:rsidP="004A6D2F">
      <w:r>
        <w:separator/>
      </w:r>
    </w:p>
  </w:footnote>
  <w:footnote w:type="continuationSeparator" w:id="0">
    <w:p w:rsidR="004619D0" w:rsidRDefault="004619D0"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A602DC"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7467C2B"/>
    <w:multiLevelType w:val="hybridMultilevel"/>
    <w:tmpl w:val="7ECE1B24"/>
    <w:lvl w:ilvl="0" w:tplc="A7785488">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2263A6A"/>
    <w:multiLevelType w:val="multilevel"/>
    <w:tmpl w:val="43D6D2FA"/>
    <w:numStyleLink w:val="StyleBulletedSymbolsymbolLeft063cmHanging063cm"/>
  </w:abstractNum>
  <w:abstractNum w:abstractNumId="19">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EFD5D57"/>
    <w:multiLevelType w:val="multilevel"/>
    <w:tmpl w:val="20D02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0F742A4"/>
    <w:multiLevelType w:val="hybridMultilevel"/>
    <w:tmpl w:val="56067C70"/>
    <w:lvl w:ilvl="0" w:tplc="07EE823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4BF5FD7"/>
    <w:multiLevelType w:val="hybridMultilevel"/>
    <w:tmpl w:val="E3249FBC"/>
    <w:lvl w:ilvl="0" w:tplc="124AF32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9">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ABA5FD8"/>
    <w:multiLevelType w:val="multilevel"/>
    <w:tmpl w:val="43D6D2FA"/>
    <w:numStyleLink w:val="StyleBulletedSymbolsymbolLeft063cmHanging063cm"/>
  </w:abstractNum>
  <w:abstractNum w:abstractNumId="31">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2A22831"/>
    <w:multiLevelType w:val="multilevel"/>
    <w:tmpl w:val="43D6D2FA"/>
    <w:numStyleLink w:val="StyleBulletedSymbolsymbolLeft063cmHanging063cm"/>
  </w:abstractNum>
  <w:abstractNum w:abstractNumId="33">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6CB2C2A"/>
    <w:multiLevelType w:val="hybridMultilevel"/>
    <w:tmpl w:val="2B7449A8"/>
    <w:lvl w:ilvl="0" w:tplc="4B4AE21A">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98365C6"/>
    <w:multiLevelType w:val="multilevel"/>
    <w:tmpl w:val="E67CE66C"/>
    <w:numStyleLink w:val="StyleNumberedLeft0cmHanging075cm"/>
  </w:abstractNum>
  <w:num w:numId="1">
    <w:abstractNumId w:val="29"/>
  </w:num>
  <w:num w:numId="2">
    <w:abstractNumId w:val="34"/>
  </w:num>
  <w:num w:numId="3">
    <w:abstractNumId w:val="25"/>
  </w:num>
  <w:num w:numId="4">
    <w:abstractNumId w:val="19"/>
  </w:num>
  <w:num w:numId="5">
    <w:abstractNumId w:val="31"/>
  </w:num>
  <w:num w:numId="6">
    <w:abstractNumId w:val="35"/>
  </w:num>
  <w:num w:numId="7">
    <w:abstractNumId w:val="24"/>
  </w:num>
  <w:num w:numId="8">
    <w:abstractNumId w:val="22"/>
  </w:num>
  <w:num w:numId="9">
    <w:abstractNumId w:val="13"/>
  </w:num>
  <w:num w:numId="10">
    <w:abstractNumId w:val="16"/>
  </w:num>
  <w:num w:numId="11">
    <w:abstractNumId w:val="27"/>
  </w:num>
  <w:num w:numId="12">
    <w:abstractNumId w:val="26"/>
  </w:num>
  <w:num w:numId="13">
    <w:abstractNumId w:val="10"/>
  </w:num>
  <w:num w:numId="14">
    <w:abstractNumId w:val="37"/>
    <w:lvlOverride w:ilvl="0">
      <w:lvl w:ilvl="0">
        <w:start w:val="1"/>
        <w:numFmt w:val="decimal"/>
        <w:pStyle w:val="ListParagraph"/>
        <w:lvlText w:val="%1."/>
        <w:lvlJc w:val="left"/>
        <w:pPr>
          <w:ind w:left="360" w:hanging="360"/>
        </w:pPr>
        <w:rPr>
          <w:rFonts w:ascii="Arial" w:hAnsi="Arial"/>
          <w:b w:val="0"/>
          <w:color w:val="000000"/>
          <w:sz w:val="24"/>
        </w:rPr>
      </w:lvl>
    </w:lvlOverride>
  </w:num>
  <w:num w:numId="15">
    <w:abstractNumId w:val="17"/>
  </w:num>
  <w:num w:numId="16">
    <w:abstractNumId w:val="11"/>
  </w:num>
  <w:num w:numId="17">
    <w:abstractNumId w:val="30"/>
  </w:num>
  <w:num w:numId="18">
    <w:abstractNumId w:val="12"/>
  </w:num>
  <w:num w:numId="19">
    <w:abstractNumId w:val="32"/>
  </w:num>
  <w:num w:numId="20">
    <w:abstractNumId w:val="18"/>
  </w:num>
  <w:num w:numId="21">
    <w:abstractNumId w:val="23"/>
  </w:num>
  <w:num w:numId="22">
    <w:abstractNumId w:val="14"/>
  </w:num>
  <w:num w:numId="23">
    <w:abstractNumId w:val="33"/>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5"/>
  </w:num>
  <w:num w:numId="35">
    <w:abstractNumId w:val="28"/>
  </w:num>
  <w:num w:numId="36">
    <w:abstractNumId w:val="21"/>
  </w:num>
  <w:num w:numId="37">
    <w:abstractNumId w:val="36"/>
  </w:num>
  <w:num w:numId="38">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36D"/>
    <w:rsid w:val="000117D4"/>
    <w:rsid w:val="00017BC5"/>
    <w:rsid w:val="000211FF"/>
    <w:rsid w:val="000314D7"/>
    <w:rsid w:val="00045F8B"/>
    <w:rsid w:val="00046D2B"/>
    <w:rsid w:val="00056263"/>
    <w:rsid w:val="00057886"/>
    <w:rsid w:val="00064D8A"/>
    <w:rsid w:val="00064F82"/>
    <w:rsid w:val="00066510"/>
    <w:rsid w:val="00077523"/>
    <w:rsid w:val="000A76B9"/>
    <w:rsid w:val="000C089F"/>
    <w:rsid w:val="000C3928"/>
    <w:rsid w:val="000C5E8E"/>
    <w:rsid w:val="000F4751"/>
    <w:rsid w:val="00102DCF"/>
    <w:rsid w:val="0010524C"/>
    <w:rsid w:val="00111FB1"/>
    <w:rsid w:val="00113418"/>
    <w:rsid w:val="001338A2"/>
    <w:rsid w:val="001356F1"/>
    <w:rsid w:val="00136994"/>
    <w:rsid w:val="0014128E"/>
    <w:rsid w:val="00147880"/>
    <w:rsid w:val="00151888"/>
    <w:rsid w:val="00162C38"/>
    <w:rsid w:val="00170A2D"/>
    <w:rsid w:val="001808BC"/>
    <w:rsid w:val="00182B81"/>
    <w:rsid w:val="0018619D"/>
    <w:rsid w:val="001A011E"/>
    <w:rsid w:val="001A066A"/>
    <w:rsid w:val="001A13E6"/>
    <w:rsid w:val="001A5731"/>
    <w:rsid w:val="001A7E6F"/>
    <w:rsid w:val="001B42C3"/>
    <w:rsid w:val="001C5D5E"/>
    <w:rsid w:val="001D678D"/>
    <w:rsid w:val="001E03F8"/>
    <w:rsid w:val="001E1678"/>
    <w:rsid w:val="001E2BBD"/>
    <w:rsid w:val="001E3376"/>
    <w:rsid w:val="002069B3"/>
    <w:rsid w:val="00213289"/>
    <w:rsid w:val="00225B01"/>
    <w:rsid w:val="00227826"/>
    <w:rsid w:val="002329CF"/>
    <w:rsid w:val="00232F5B"/>
    <w:rsid w:val="00234F39"/>
    <w:rsid w:val="0024444C"/>
    <w:rsid w:val="00247C29"/>
    <w:rsid w:val="00260467"/>
    <w:rsid w:val="00263EA3"/>
    <w:rsid w:val="0028145F"/>
    <w:rsid w:val="00284F85"/>
    <w:rsid w:val="00290915"/>
    <w:rsid w:val="00297A09"/>
    <w:rsid w:val="002A22E2"/>
    <w:rsid w:val="002C64F7"/>
    <w:rsid w:val="002F363D"/>
    <w:rsid w:val="002F41F2"/>
    <w:rsid w:val="00301BF3"/>
    <w:rsid w:val="0030208D"/>
    <w:rsid w:val="003042BB"/>
    <w:rsid w:val="00323418"/>
    <w:rsid w:val="00325F7A"/>
    <w:rsid w:val="003357BF"/>
    <w:rsid w:val="00344EBC"/>
    <w:rsid w:val="00364FAD"/>
    <w:rsid w:val="0036738F"/>
    <w:rsid w:val="0036759C"/>
    <w:rsid w:val="00367AE5"/>
    <w:rsid w:val="00367D71"/>
    <w:rsid w:val="0038150A"/>
    <w:rsid w:val="00384D11"/>
    <w:rsid w:val="003862C6"/>
    <w:rsid w:val="00397F47"/>
    <w:rsid w:val="003B6E75"/>
    <w:rsid w:val="003B7DA1"/>
    <w:rsid w:val="003C2DC2"/>
    <w:rsid w:val="003D0379"/>
    <w:rsid w:val="003D2574"/>
    <w:rsid w:val="003D4C59"/>
    <w:rsid w:val="003F4267"/>
    <w:rsid w:val="003F79BB"/>
    <w:rsid w:val="00404032"/>
    <w:rsid w:val="0040736F"/>
    <w:rsid w:val="00412C1F"/>
    <w:rsid w:val="00421CB2"/>
    <w:rsid w:val="004268B9"/>
    <w:rsid w:val="00427498"/>
    <w:rsid w:val="00433B96"/>
    <w:rsid w:val="004440F1"/>
    <w:rsid w:val="004456DD"/>
    <w:rsid w:val="00446CDF"/>
    <w:rsid w:val="004521B7"/>
    <w:rsid w:val="004619D0"/>
    <w:rsid w:val="00462AB5"/>
    <w:rsid w:val="00465EAF"/>
    <w:rsid w:val="00471AEE"/>
    <w:rsid w:val="004738C5"/>
    <w:rsid w:val="00491046"/>
    <w:rsid w:val="004A2AC7"/>
    <w:rsid w:val="004A6D2F"/>
    <w:rsid w:val="004B46B3"/>
    <w:rsid w:val="004B5F7F"/>
    <w:rsid w:val="004C2887"/>
    <w:rsid w:val="004D2626"/>
    <w:rsid w:val="004D2FF1"/>
    <w:rsid w:val="004D6E26"/>
    <w:rsid w:val="004D77D3"/>
    <w:rsid w:val="004E2959"/>
    <w:rsid w:val="004F20EF"/>
    <w:rsid w:val="0050321C"/>
    <w:rsid w:val="00536782"/>
    <w:rsid w:val="0054712D"/>
    <w:rsid w:val="00547EF6"/>
    <w:rsid w:val="00553166"/>
    <w:rsid w:val="005570B5"/>
    <w:rsid w:val="00567E18"/>
    <w:rsid w:val="005714F5"/>
    <w:rsid w:val="00575F5F"/>
    <w:rsid w:val="00581805"/>
    <w:rsid w:val="00585F76"/>
    <w:rsid w:val="005A34E4"/>
    <w:rsid w:val="005A5C1C"/>
    <w:rsid w:val="005A5F52"/>
    <w:rsid w:val="005B17F2"/>
    <w:rsid w:val="005B7FB0"/>
    <w:rsid w:val="005C1A55"/>
    <w:rsid w:val="005C35A5"/>
    <w:rsid w:val="005C577C"/>
    <w:rsid w:val="005D0621"/>
    <w:rsid w:val="005D1E27"/>
    <w:rsid w:val="005D2A3E"/>
    <w:rsid w:val="005E022E"/>
    <w:rsid w:val="005E5215"/>
    <w:rsid w:val="005E6D29"/>
    <w:rsid w:val="005F7F7E"/>
    <w:rsid w:val="00614693"/>
    <w:rsid w:val="00623C2F"/>
    <w:rsid w:val="0062432D"/>
    <w:rsid w:val="00633578"/>
    <w:rsid w:val="00637068"/>
    <w:rsid w:val="00642486"/>
    <w:rsid w:val="00650811"/>
    <w:rsid w:val="00651208"/>
    <w:rsid w:val="00661D3E"/>
    <w:rsid w:val="00671F9D"/>
    <w:rsid w:val="00687B66"/>
    <w:rsid w:val="00692627"/>
    <w:rsid w:val="006969E7"/>
    <w:rsid w:val="006A3643"/>
    <w:rsid w:val="006C2A29"/>
    <w:rsid w:val="006C64CF"/>
    <w:rsid w:val="006C733C"/>
    <w:rsid w:val="006D17B1"/>
    <w:rsid w:val="006D4752"/>
    <w:rsid w:val="006D4B12"/>
    <w:rsid w:val="006D708A"/>
    <w:rsid w:val="006E14C1"/>
    <w:rsid w:val="006F0292"/>
    <w:rsid w:val="006F27FA"/>
    <w:rsid w:val="006F416B"/>
    <w:rsid w:val="006F519B"/>
    <w:rsid w:val="00713675"/>
    <w:rsid w:val="00715823"/>
    <w:rsid w:val="00737B93"/>
    <w:rsid w:val="00745BF0"/>
    <w:rsid w:val="007615FE"/>
    <w:rsid w:val="0076655C"/>
    <w:rsid w:val="007742DC"/>
    <w:rsid w:val="00780C23"/>
    <w:rsid w:val="00791437"/>
    <w:rsid w:val="007932DF"/>
    <w:rsid w:val="007A023C"/>
    <w:rsid w:val="007B0C2C"/>
    <w:rsid w:val="007B278E"/>
    <w:rsid w:val="007C5C23"/>
    <w:rsid w:val="007E2A26"/>
    <w:rsid w:val="007E4C58"/>
    <w:rsid w:val="007F1775"/>
    <w:rsid w:val="007F2348"/>
    <w:rsid w:val="00803F07"/>
    <w:rsid w:val="0080749A"/>
    <w:rsid w:val="00807C32"/>
    <w:rsid w:val="00817EBF"/>
    <w:rsid w:val="00820652"/>
    <w:rsid w:val="00821FB8"/>
    <w:rsid w:val="00822ACD"/>
    <w:rsid w:val="008369F8"/>
    <w:rsid w:val="00855C66"/>
    <w:rsid w:val="00870FEC"/>
    <w:rsid w:val="00871EE4"/>
    <w:rsid w:val="00890F10"/>
    <w:rsid w:val="008B293F"/>
    <w:rsid w:val="008B7371"/>
    <w:rsid w:val="008D3DDB"/>
    <w:rsid w:val="008F1380"/>
    <w:rsid w:val="008F573F"/>
    <w:rsid w:val="009034EC"/>
    <w:rsid w:val="0093067A"/>
    <w:rsid w:val="00941C60"/>
    <w:rsid w:val="00966D42"/>
    <w:rsid w:val="00971689"/>
    <w:rsid w:val="00973E90"/>
    <w:rsid w:val="00975B07"/>
    <w:rsid w:val="00980B4A"/>
    <w:rsid w:val="009A1D36"/>
    <w:rsid w:val="009C472C"/>
    <w:rsid w:val="009E3D0A"/>
    <w:rsid w:val="009E51FC"/>
    <w:rsid w:val="009E5DDB"/>
    <w:rsid w:val="009F1D28"/>
    <w:rsid w:val="009F7618"/>
    <w:rsid w:val="00A04D23"/>
    <w:rsid w:val="00A06766"/>
    <w:rsid w:val="00A13765"/>
    <w:rsid w:val="00A21B12"/>
    <w:rsid w:val="00A23F80"/>
    <w:rsid w:val="00A33E2F"/>
    <w:rsid w:val="00A3474D"/>
    <w:rsid w:val="00A46E98"/>
    <w:rsid w:val="00A5436D"/>
    <w:rsid w:val="00A602DC"/>
    <w:rsid w:val="00A6352B"/>
    <w:rsid w:val="00A701B5"/>
    <w:rsid w:val="00A714BB"/>
    <w:rsid w:val="00A7485B"/>
    <w:rsid w:val="00A92D8F"/>
    <w:rsid w:val="00AB2988"/>
    <w:rsid w:val="00AB7999"/>
    <w:rsid w:val="00AC4DF1"/>
    <w:rsid w:val="00AC7C02"/>
    <w:rsid w:val="00AD3292"/>
    <w:rsid w:val="00AE7AF0"/>
    <w:rsid w:val="00AF35FE"/>
    <w:rsid w:val="00AF4BFB"/>
    <w:rsid w:val="00B13056"/>
    <w:rsid w:val="00B500CA"/>
    <w:rsid w:val="00B82287"/>
    <w:rsid w:val="00B86314"/>
    <w:rsid w:val="00BA1C2E"/>
    <w:rsid w:val="00BA5F16"/>
    <w:rsid w:val="00BB0898"/>
    <w:rsid w:val="00BC200B"/>
    <w:rsid w:val="00BC4756"/>
    <w:rsid w:val="00BC69A4"/>
    <w:rsid w:val="00BD15D5"/>
    <w:rsid w:val="00BE0680"/>
    <w:rsid w:val="00BE305F"/>
    <w:rsid w:val="00BE7BA3"/>
    <w:rsid w:val="00BF5682"/>
    <w:rsid w:val="00BF7B09"/>
    <w:rsid w:val="00C071D2"/>
    <w:rsid w:val="00C20A95"/>
    <w:rsid w:val="00C2692F"/>
    <w:rsid w:val="00C3207C"/>
    <w:rsid w:val="00C400E1"/>
    <w:rsid w:val="00C41187"/>
    <w:rsid w:val="00C56A72"/>
    <w:rsid w:val="00C63C31"/>
    <w:rsid w:val="00C757A0"/>
    <w:rsid w:val="00C760DE"/>
    <w:rsid w:val="00C82630"/>
    <w:rsid w:val="00C82CB7"/>
    <w:rsid w:val="00C845DC"/>
    <w:rsid w:val="00C85B4E"/>
    <w:rsid w:val="00C907F7"/>
    <w:rsid w:val="00CA01F9"/>
    <w:rsid w:val="00CA2103"/>
    <w:rsid w:val="00CB6B99"/>
    <w:rsid w:val="00CE0835"/>
    <w:rsid w:val="00CE1801"/>
    <w:rsid w:val="00CE302F"/>
    <w:rsid w:val="00CE4C87"/>
    <w:rsid w:val="00CE544A"/>
    <w:rsid w:val="00D02186"/>
    <w:rsid w:val="00D11E1C"/>
    <w:rsid w:val="00D150BD"/>
    <w:rsid w:val="00D160B0"/>
    <w:rsid w:val="00D17F94"/>
    <w:rsid w:val="00D223FC"/>
    <w:rsid w:val="00D26D1E"/>
    <w:rsid w:val="00D474CF"/>
    <w:rsid w:val="00D5547E"/>
    <w:rsid w:val="00D56E2E"/>
    <w:rsid w:val="00D836B4"/>
    <w:rsid w:val="00D869A1"/>
    <w:rsid w:val="00DA413F"/>
    <w:rsid w:val="00DA4584"/>
    <w:rsid w:val="00DA614B"/>
    <w:rsid w:val="00DC3060"/>
    <w:rsid w:val="00DC6960"/>
    <w:rsid w:val="00DD494B"/>
    <w:rsid w:val="00DE0FB2"/>
    <w:rsid w:val="00DF093E"/>
    <w:rsid w:val="00DF3BA4"/>
    <w:rsid w:val="00E01F42"/>
    <w:rsid w:val="00E06027"/>
    <w:rsid w:val="00E16BB6"/>
    <w:rsid w:val="00E206D6"/>
    <w:rsid w:val="00E3366E"/>
    <w:rsid w:val="00E35B91"/>
    <w:rsid w:val="00E3619B"/>
    <w:rsid w:val="00E52086"/>
    <w:rsid w:val="00E543A6"/>
    <w:rsid w:val="00E60479"/>
    <w:rsid w:val="00E61D73"/>
    <w:rsid w:val="00E6537B"/>
    <w:rsid w:val="00E73684"/>
    <w:rsid w:val="00E818D6"/>
    <w:rsid w:val="00E87F7A"/>
    <w:rsid w:val="00E96BD7"/>
    <w:rsid w:val="00EA0DB1"/>
    <w:rsid w:val="00EA0EE9"/>
    <w:rsid w:val="00ED52CA"/>
    <w:rsid w:val="00ED5860"/>
    <w:rsid w:val="00EE35C9"/>
    <w:rsid w:val="00EF17BC"/>
    <w:rsid w:val="00F0354B"/>
    <w:rsid w:val="00F05ECA"/>
    <w:rsid w:val="00F2265B"/>
    <w:rsid w:val="00F3566E"/>
    <w:rsid w:val="00F375FB"/>
    <w:rsid w:val="00F41AC1"/>
    <w:rsid w:val="00F4367A"/>
    <w:rsid w:val="00F445B1"/>
    <w:rsid w:val="00F45CD4"/>
    <w:rsid w:val="00F6470F"/>
    <w:rsid w:val="00F66DCA"/>
    <w:rsid w:val="00F74F53"/>
    <w:rsid w:val="00F7606D"/>
    <w:rsid w:val="00F81670"/>
    <w:rsid w:val="00F82024"/>
    <w:rsid w:val="00F95BC9"/>
    <w:rsid w:val="00FA624C"/>
    <w:rsid w:val="00FB76AF"/>
    <w:rsid w:val="00FD0FAC"/>
    <w:rsid w:val="00FD1DFA"/>
    <w:rsid w:val="00FD4966"/>
    <w:rsid w:val="00FD584D"/>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671F9D"/>
    <w:pPr>
      <w:autoSpaceDE w:val="0"/>
      <w:autoSpaceDN w:val="0"/>
      <w:adjustRightInd w:val="0"/>
    </w:pPr>
    <w:rPr>
      <w:rFonts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671F9D"/>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93770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D6427-8E01-4601-AA83-E457DE3A6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F9003926</Template>
  <TotalTime>16</TotalTime>
  <Pages>3</Pages>
  <Words>889</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Michael</dc:creator>
  <cp:lastModifiedBy>sclaridge</cp:lastModifiedBy>
  <cp:revision>6</cp:revision>
  <cp:lastPrinted>2017-02-01T08:34:00Z</cp:lastPrinted>
  <dcterms:created xsi:type="dcterms:W3CDTF">2017-05-16T08:26:00Z</dcterms:created>
  <dcterms:modified xsi:type="dcterms:W3CDTF">2017-06-07T10:16:00Z</dcterms:modified>
</cp:coreProperties>
</file>

<file path=docProps/custom.xml><?xml version="1.0" encoding="utf-8"?>
<op:Properties xmlns:op="http://schemas.openxmlformats.org/officeDocument/2006/custom-properties"/>
</file>